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木垒哈萨克自治县博物馆</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木垒哈萨克自治县博物馆开展文物研究，弘扬民族文化，文物保护和方法研究，文物档案资料管理与研究，文物展览、文物宣传。</w:t>
      </w:r>
    </w:p>
    <w:p>
      <w:pPr>
        <w:ind w:firstLine="640" w:firstLineChars="200"/>
        <w:rPr>
          <w:rFonts w:ascii="仿宋_GB2312" w:eastAsia="仿宋_GB2312"/>
          <w:sz w:val="32"/>
          <w:szCs w:val="32"/>
        </w:rPr>
      </w:pPr>
      <w:r>
        <w:rPr>
          <w:rFonts w:hint="eastAsia" w:ascii="仿宋_GB2312" w:eastAsia="仿宋_GB2312"/>
          <w:sz w:val="32"/>
          <w:szCs w:val="32"/>
        </w:rPr>
        <w:t>木垒哈萨克自治县博物馆先后被区、州、县命名为“昌吉州科普教育基地”、“昌吉州爱国主义教育基地”、“昌吉州青少年爱国主义教育基地”、“自治州国防教育基地”、“木垒县反邪教警示教育基地”、“木垒县廉政教育基地”、“木垒县民族团结进步教育基地”。</w:t>
      </w:r>
    </w:p>
    <w:p>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木垒哈萨克自治县博物馆2023年度，实有人数</w:t>
      </w:r>
      <w:r>
        <w:rPr>
          <w:rFonts w:hint="eastAsia" w:ascii="仿宋_GB2312" w:eastAsia="仿宋_GB2312"/>
          <w:sz w:val="32"/>
          <w:szCs w:val="32"/>
          <w:lang w:val="zh-CN"/>
        </w:rPr>
        <w:t>22</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11</w:t>
      </w:r>
      <w:r>
        <w:rPr>
          <w:rFonts w:hint="eastAsia" w:ascii="仿宋_GB2312" w:eastAsia="仿宋_GB2312"/>
          <w:sz w:val="32"/>
          <w:szCs w:val="32"/>
        </w:rPr>
        <w:t>人。</w:t>
      </w:r>
    </w:p>
    <w:p>
      <w:pPr>
        <w:ind w:firstLine="640" w:firstLineChars="200"/>
        <w:rPr>
          <w:kern w:val="0"/>
          <w:sz w:val="24"/>
          <w:rtl/>
          <w:lang w:val="zh-CN" w:bidi="zh-CN"/>
        </w:r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hint="eastAsia" w:ascii="仿宋_GB2312" w:eastAsia="仿宋_GB2312" w:cs="仿宋_GB2312"/>
          <w:kern w:val="0"/>
          <w:sz w:val="32"/>
          <w:szCs w:val="32"/>
        </w:rPr>
        <w:t>2</w:t>
      </w:r>
      <w:r>
        <w:rPr>
          <w:rFonts w:hint="eastAsia" w:ascii="仿宋_GB2312" w:eastAsia="仿宋_GB2312" w:cs="仿宋_GB2312"/>
          <w:kern w:val="0"/>
          <w:sz w:val="32"/>
          <w:szCs w:val="32"/>
          <w:lang w:val="zh-CN"/>
        </w:rPr>
        <w:t>个科室，</w:t>
      </w:r>
      <w:r>
        <w:rPr>
          <w:rFonts w:hint="eastAsia" w:ascii="仿宋_GB2312" w:eastAsia="仿宋_GB2312" w:cs="仿宋_GB2312"/>
          <w:kern w:val="0"/>
          <w:sz w:val="32"/>
          <w:szCs w:val="32"/>
        </w:rPr>
        <w:t>分别是：办公室、陈列保管室。</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2023年度收入总计625.67万元，其中：本年收入合计625.67万元，使用非财政拨款结余0.00万元，年初结转和结余0.00万元。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2023年度支出总计625.67万元，其中：本年支出合计625.65万元，结余分配0.00万元，年末结转和结余0.02万元。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增加38.52万元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收入625.67万元，其中：财政拨款收入625.65万元，占100.00%；上级补助收入0.00万元，占0.00%；事业收入0.00万元，占0.00%；经营收入0.00万元，占0.00%；附属单位上缴收入0.00万元，占0.00%；其他收入0.02万元，占0.00%。</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本年支出625.65万元，其中：基本支出187.77万元，占30.01%；项目支出437.88万元，占69.99%；上缴上级支出0.00万元，占0.00%；经营支出0.00万元，占0.00%；对附属单位补助支出0.00万元，占0.00%。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625.65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625.65</w:t>
      </w:r>
      <w:r>
        <w:rPr>
          <w:rFonts w:hint="eastAsia" w:ascii="仿宋_GB2312" w:eastAsia="仿宋_GB2312"/>
          <w:sz w:val="32"/>
          <w:szCs w:val="32"/>
        </w:rPr>
        <w:t>万元。财政拨款支出总计</w:t>
      </w:r>
      <w:r>
        <w:rPr>
          <w:rFonts w:hint="eastAsia" w:ascii="仿宋_GB2312" w:eastAsia="仿宋_GB2312"/>
          <w:sz w:val="32"/>
          <w:szCs w:val="32"/>
          <w:lang w:val="zh-CN"/>
        </w:rPr>
        <w:t>625.65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625.65</w:t>
      </w:r>
      <w:r>
        <w:rPr>
          <w:rFonts w:hint="eastAsia" w:ascii="仿宋_GB2312" w:eastAsia="仿宋_GB2312"/>
          <w:sz w:val="32"/>
          <w:szCs w:val="32"/>
        </w:rPr>
        <w:t>万元。</w:t>
      </w:r>
    </w:p>
    <w:p>
      <w:pPr>
        <w:ind w:firstLine="640" w:firstLineChars="200"/>
        <w:jc w:val="left"/>
        <w:rPr>
          <w:rFonts w:ascii="仿宋_GB2312" w:eastAsia="仿宋_GB2312"/>
          <w:sz w:val="32"/>
          <w:szCs w:val="32"/>
          <w:lang w:val="zh-CN"/>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万元，预决算差异率203.08%，主要原因是：年中追加</w:t>
      </w:r>
      <w:r>
        <w:rPr>
          <w:rFonts w:hint="eastAsia" w:ascii="仿宋_GB2312" w:eastAsia="仿宋_GB2312"/>
          <w:sz w:val="32"/>
          <w:szCs w:val="32"/>
          <w:lang w:val="zh-CN"/>
        </w:rPr>
        <w:t>木垒县博物馆装修工程项目费用。</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lang w:val="zh-CN"/>
        </w:rPr>
      </w:pPr>
      <w:r>
        <w:rPr>
          <w:rFonts w:hint="eastAsia" w:ascii="仿宋_GB2312" w:eastAsia="仿宋_GB2312"/>
          <w:sz w:val="32"/>
          <w:szCs w:val="32"/>
        </w:rPr>
        <w:t>2023年度一般公共预算财政拨款支出625.65万元，占本年支出合计的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增加38.50万元</w:t>
      </w:r>
      <w:r>
        <w:rPr>
          <w:rFonts w:hint="eastAsia" w:ascii="仿宋_GB2312" w:eastAsia="仿宋_GB2312"/>
          <w:sz w:val="32"/>
          <w:szCs w:val="32"/>
        </w:rPr>
        <w:t>，增长6.56%,主要原因是：单位本年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r>
        <w:rPr>
          <w:rFonts w:hint="eastAsia" w:ascii="仿宋_GB2312" w:eastAsia="仿宋_GB2312"/>
          <w:sz w:val="32"/>
          <w:szCs w:val="32"/>
        </w:rPr>
        <w:t>与年初预算相比，年初预算数</w:t>
      </w:r>
      <w:r>
        <w:rPr>
          <w:rFonts w:hint="eastAsia" w:ascii="仿宋_GB2312" w:eastAsia="仿宋_GB2312"/>
          <w:sz w:val="32"/>
          <w:szCs w:val="32"/>
          <w:lang w:val="zh-CN"/>
        </w:rPr>
        <w:t>206.43</w:t>
      </w:r>
      <w:r>
        <w:rPr>
          <w:rFonts w:hint="eastAsia" w:ascii="仿宋_GB2312" w:eastAsia="仿宋_GB2312"/>
          <w:sz w:val="32"/>
          <w:szCs w:val="32"/>
        </w:rPr>
        <w:t>万元，决算数</w:t>
      </w:r>
      <w:r>
        <w:rPr>
          <w:rFonts w:hint="eastAsia" w:ascii="仿宋_GB2312" w:eastAsia="仿宋_GB2312"/>
          <w:sz w:val="32"/>
          <w:szCs w:val="32"/>
          <w:lang w:val="zh-CN"/>
        </w:rPr>
        <w:t>625.65</w:t>
      </w:r>
      <w:r>
        <w:rPr>
          <w:rFonts w:hint="eastAsia" w:ascii="仿宋_GB2312" w:eastAsia="仿宋_GB2312"/>
          <w:sz w:val="32"/>
          <w:szCs w:val="32"/>
        </w:rPr>
        <w:t>万元，预决算差异率</w:t>
      </w:r>
      <w:r>
        <w:rPr>
          <w:rFonts w:hint="eastAsia" w:ascii="仿宋_GB2312" w:eastAsia="仿宋_GB2312"/>
          <w:sz w:val="32"/>
          <w:szCs w:val="32"/>
          <w:lang w:val="zh-CN"/>
        </w:rPr>
        <w:t>203.08%</w:t>
      </w:r>
      <w:r>
        <w:rPr>
          <w:rFonts w:hint="eastAsia" w:ascii="仿宋_GB2312" w:eastAsia="仿宋_GB2312"/>
          <w:sz w:val="32"/>
          <w:szCs w:val="32"/>
        </w:rPr>
        <w:t>，主要原因是：年中追加</w:t>
      </w:r>
      <w:r>
        <w:rPr>
          <w:rFonts w:hint="eastAsia" w:ascii="仿宋_GB2312" w:eastAsia="仿宋_GB2312"/>
          <w:sz w:val="32"/>
          <w:szCs w:val="32"/>
          <w:lang w:val="zh-CN"/>
        </w:rPr>
        <w:t>木垒县博物馆装修工程项目费用。</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614.84</w:t>
      </w:r>
      <w:r>
        <w:rPr>
          <w:rFonts w:ascii="仿宋_GB2312" w:eastAsia="仿宋_GB2312"/>
          <w:kern w:val="2"/>
          <w:sz w:val="32"/>
          <w:szCs w:val="32"/>
          <w:lang w:val="zh-CN"/>
        </w:rPr>
        <w:t>万元，占</w:t>
      </w:r>
      <w:r>
        <w:rPr>
          <w:rFonts w:hint="eastAsia" w:ascii="仿宋_GB2312" w:eastAsia="仿宋_GB2312"/>
          <w:kern w:val="2"/>
          <w:sz w:val="32"/>
          <w:szCs w:val="32"/>
          <w:lang w:val="zh-CN"/>
        </w:rPr>
        <w:t>98.27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10.81</w:t>
      </w:r>
      <w:r>
        <w:rPr>
          <w:rFonts w:ascii="仿宋_GB2312" w:eastAsia="仿宋_GB2312"/>
          <w:kern w:val="2"/>
          <w:sz w:val="32"/>
          <w:szCs w:val="32"/>
          <w:lang w:val="zh-CN"/>
        </w:rPr>
        <w:t>万元，占</w:t>
      </w:r>
      <w:r>
        <w:rPr>
          <w:rFonts w:hint="eastAsia" w:ascii="仿宋_GB2312" w:eastAsia="仿宋_GB2312"/>
          <w:kern w:val="2"/>
          <w:sz w:val="32"/>
          <w:szCs w:val="32"/>
          <w:lang w:val="zh-CN"/>
        </w:rPr>
        <w:t>1.73</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lang w:val="zh-CN"/>
        </w:rPr>
      </w:pPr>
      <w:r>
        <w:rPr>
          <w:rFonts w:hint="eastAsia" w:ascii="仿宋_GB2312" w:eastAsia="仿宋_GB2312"/>
          <w:sz w:val="32"/>
          <w:szCs w:val="32"/>
        </w:rPr>
        <w:t>1.文化旅游体育与传媒支出（类）文物（款）行政运行（项）:支出决算数为176.96万元，比上年决算增加49.12万元，增长38.42%，主要原因是：</w:t>
      </w:r>
      <w:r>
        <w:rPr>
          <w:rFonts w:hint="eastAsia" w:ascii="仿宋_GB2312" w:eastAsia="仿宋_GB2312"/>
          <w:sz w:val="32"/>
          <w:szCs w:val="32"/>
          <w:lang w:val="zh-CN"/>
        </w:rPr>
        <w:t>单位本年人员</w:t>
      </w:r>
      <w:r>
        <w:rPr>
          <w:rFonts w:hint="eastAsia" w:ascii="仿宋_GB2312" w:eastAsia="仿宋_GB2312"/>
          <w:sz w:val="32"/>
          <w:szCs w:val="32"/>
        </w:rPr>
        <w:t>增加</w:t>
      </w:r>
      <w:r>
        <w:rPr>
          <w:rFonts w:hint="eastAsia" w:ascii="仿宋_GB2312" w:eastAsia="仿宋_GB2312"/>
          <w:sz w:val="32"/>
          <w:szCs w:val="32"/>
          <w:lang w:val="zh-CN"/>
        </w:rPr>
        <w:t>，相应工资、津贴补贴、奖金增加。</w:t>
      </w:r>
    </w:p>
    <w:p>
      <w:pPr>
        <w:ind w:firstLine="640" w:firstLineChars="200"/>
        <w:jc w:val="left"/>
        <w:rPr>
          <w:rFonts w:ascii="仿宋_GB2312" w:eastAsia="仿宋_GB2312"/>
          <w:sz w:val="32"/>
          <w:szCs w:val="32"/>
          <w:lang w:val="zh-CN"/>
        </w:rPr>
      </w:pPr>
      <w:r>
        <w:rPr>
          <w:rFonts w:hint="eastAsia" w:ascii="仿宋_GB2312" w:eastAsia="仿宋_GB2312"/>
          <w:sz w:val="32"/>
          <w:szCs w:val="32"/>
        </w:rPr>
        <w:t>2.文化旅游体育与传媒支出（类）文物（款）文物保护（项）:支出决算数为85.73万元，比上年决算减少115.73万元，下降57.45%，主要原因是：单位本年</w:t>
      </w:r>
      <w:r>
        <w:rPr>
          <w:rFonts w:hint="eastAsia" w:ascii="仿宋_GB2312" w:eastAsia="仿宋_GB2312"/>
          <w:sz w:val="32"/>
          <w:szCs w:val="32"/>
          <w:lang w:val="zh-CN"/>
        </w:rPr>
        <w:t>国家文物保护资金</w:t>
      </w:r>
      <w:r>
        <w:rPr>
          <w:rFonts w:hint="eastAsia" w:ascii="仿宋_GB2312" w:eastAsia="仿宋_GB2312"/>
          <w:sz w:val="32"/>
          <w:szCs w:val="32"/>
        </w:rPr>
        <w:t>减少</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3.社会保障和就业支出（类）行政事业单位养老支出（款）事业单位离退休（项）:支出决算数为3.30万元，比上年决算增加1.87万元，增长131.27%，主要原因是：单位本年有新增退休人员，相应退休补助费增加</w:t>
      </w:r>
      <w:r>
        <w:rPr>
          <w:rFonts w:hint="eastAsia" w:ascii="仿宋_GB2312" w:eastAsia="仿宋_GB2312"/>
          <w:sz w:val="32"/>
          <w:szCs w:val="32"/>
          <w:lang w:val="zh-CN"/>
        </w:rPr>
        <w:t>。</w:t>
      </w:r>
    </w:p>
    <w:p>
      <w:pPr>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4.文化旅游体育与传媒支出（类）其他文化旅游体育与传媒支出（款）其他文化旅游体育与传媒支出（项）:支出决算数为2.00万元，比上年决算增加0.00万元，增长0.00%，主要原因是：</w:t>
      </w:r>
      <w:r>
        <w:rPr>
          <w:rFonts w:hint="eastAsia" w:eastAsia="仿宋_GB2312"/>
          <w:sz w:val="32"/>
          <w:szCs w:val="32"/>
        </w:rPr>
        <w:t>与上年对比无差异</w:t>
      </w:r>
      <w:r>
        <w:rPr>
          <w:rFonts w:hint="eastAsia"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5.文化旅游体育与传媒支出（类）文物（款）博物馆（项）:支出决算数为350.16万元，比上年决算增加120.31万元，增长52.35%，主要原因是：单位本年</w:t>
      </w:r>
      <w:r>
        <w:rPr>
          <w:rFonts w:hint="eastAsia" w:ascii="仿宋_GB2312" w:eastAsia="仿宋_GB2312"/>
          <w:sz w:val="32"/>
          <w:szCs w:val="32"/>
          <w:lang w:val="zh-CN"/>
        </w:rPr>
        <w:t>木垒县博物馆装修工程费用</w:t>
      </w:r>
      <w:r>
        <w:rPr>
          <w:rFonts w:hint="eastAsia" w:ascii="仿宋_GB2312" w:eastAsia="仿宋_GB2312"/>
          <w:sz w:val="32"/>
          <w:szCs w:val="32"/>
        </w:rPr>
        <w:t>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6.社会保障和就业支出（类）行政事业单位养老支出（款）机关事业单位职业年金缴费支出（项）:支出决算数为7.51万元，比上年决算增加7.51万元，增长100%，主要原因是：单位本年</w:t>
      </w:r>
      <w:r>
        <w:rPr>
          <w:rFonts w:hint="eastAsia" w:eastAsia="仿宋_GB2312"/>
          <w:sz w:val="32"/>
          <w:szCs w:val="32"/>
        </w:rPr>
        <w:t>退休人员增加，</w:t>
      </w:r>
      <w:r>
        <w:rPr>
          <w:rFonts w:hint="eastAsia" w:ascii="仿宋_GB2312" w:eastAsia="仿宋_GB2312"/>
          <w:sz w:val="32"/>
          <w:szCs w:val="32"/>
        </w:rPr>
        <w:t>职业年金缴费支出</w:t>
      </w:r>
      <w:r>
        <w:rPr>
          <w:rFonts w:hint="eastAsia" w:eastAsia="仿宋_GB2312"/>
          <w:sz w:val="32"/>
          <w:szCs w:val="32"/>
        </w:rPr>
        <w:t>增加</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rPr>
        <w:t>7.住房保障支出（类）住房改革支出（款）住房公积金（项）:支出决算数为0.00万元，比上年决算减少10.74万元，下降100%，主要原因是：</w:t>
      </w:r>
      <w:r>
        <w:rPr>
          <w:rFonts w:hint="eastAsia" w:ascii="仿宋_GB2312" w:eastAsia="仿宋_GB2312"/>
          <w:sz w:val="32"/>
          <w:szCs w:val="32"/>
          <w:lang w:val="zh-CN"/>
        </w:rPr>
        <w:t>单位本年无此项经费。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8.社会保障和就业支出（类）行政事业单位养老支出（款）机关事业单位基本养老保险缴费支出（项）:支出决算数为0.00万元，比上年决算减少13.85万元，下降100%，主要原因是：</w:t>
      </w:r>
      <w:r>
        <w:rPr>
          <w:rFonts w:hint="eastAsia" w:ascii="仿宋_GB2312" w:eastAsia="仿宋_GB2312"/>
          <w:sz w:val="32"/>
          <w:szCs w:val="32"/>
          <w:lang w:val="zh-CN"/>
        </w:rPr>
        <w:t>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公用经费13.72万元，包括：办公费、水费、电费、取暖费。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对比无差异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木垒哈萨克自治县博物馆（行政单位和参照公务员法管理事业单位）机关运行经费支出13.72万元，</w:t>
      </w:r>
      <w:r>
        <w:rPr>
          <w:rFonts w:hint="eastAsia" w:ascii="仿宋_GB2312" w:eastAsia="仿宋_GB2312"/>
          <w:sz w:val="32"/>
          <w:szCs w:val="32"/>
          <w:lang w:val="zh-CN"/>
        </w:rPr>
        <w:t>比上年增加13.72万元，增长100.00%，主要原因是：</w:t>
      </w:r>
      <w:r>
        <w:rPr>
          <w:rFonts w:hint="eastAsia" w:ascii="仿宋_GB2312" w:eastAsia="仿宋_GB2312"/>
          <w:sz w:val="32"/>
          <w:szCs w:val="32"/>
        </w:rPr>
        <w:t>单位本年办公费、取暖费、维修费较上年增加。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2023年度政府采购支出总额12.66万元，其中：政府采购货物支出5.76万元、政府采购工程支出0.00万元、政府采购服务支出6.90万元。</w:t>
      </w:r>
    </w:p>
    <w:p>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授予中小企业合同金额12.66万元，占政府采购支出总额的100.00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，其中：授予小微企业合同金额12.66万元，占政府采购支出总额的100.00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368.06</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；单价100万元（含）以上设备（不含车辆）1</w:t>
      </w:r>
      <w:r>
        <w:rPr>
          <w:rFonts w:hint="eastAsia" w:ascii="仿宋_GB2312" w:eastAsia="仿宋_GB2312"/>
          <w:sz w:val="32"/>
          <w:szCs w:val="32"/>
        </w:rPr>
        <w:t>台（</w:t>
      </w:r>
      <w:r>
        <w:rPr>
          <w:rFonts w:hint="eastAsia" w:ascii="仿宋_GB2312" w:eastAsia="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625.65万元，实际执行总额625.65万元；预算绩效评价项目3个，全年预算数127.72万元，全年执行数127.72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54"/>
        <w:gridCol w:w="1197"/>
        <w:gridCol w:w="1171"/>
        <w:gridCol w:w="968"/>
        <w:gridCol w:w="1001"/>
        <w:gridCol w:w="793"/>
        <w:gridCol w:w="916"/>
        <w:gridCol w:w="922"/>
      </w:tblGrid>
      <w:tr>
        <w:tblPrEx>
          <w:tblCellMar>
            <w:top w:w="0" w:type="dxa"/>
            <w:left w:w="108" w:type="dxa"/>
            <w:bottom w:w="0" w:type="dxa"/>
            <w:right w:w="108" w:type="dxa"/>
          </w:tblCellMar>
        </w:tblPrEx>
        <w:trPr>
          <w:trHeight w:val="522" w:hRule="atLeast"/>
          <w:jc w:val="center"/>
        </w:trPr>
        <w:tc>
          <w:tcPr>
            <w:tcW w:w="1419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w:t>
            </w:r>
            <w:bookmarkStart w:id="48" w:name="_GoBack"/>
            <w:bookmarkEnd w:id="48"/>
            <w:r>
              <w:rPr>
                <w:rFonts w:hint="eastAsia" w:ascii="宋体" w:hAnsi="宋体" w:cs="宋体"/>
                <w:color w:val="000000"/>
                <w:kern w:val="0"/>
                <w:sz w:val="20"/>
                <w:szCs w:val="20"/>
                <w:lang w:bidi="ar"/>
              </w:rPr>
              <w:t>目标自评表</w:t>
            </w:r>
          </w:p>
        </w:tc>
      </w:tr>
      <w:tr>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tblPrEx>
          <w:tblCellMar>
            <w:top w:w="0" w:type="dxa"/>
            <w:left w:w="108" w:type="dxa"/>
            <w:bottom w:w="0" w:type="dxa"/>
            <w:right w:w="108" w:type="dxa"/>
          </w:tblCellMar>
        </w:tblPrEx>
        <w:trPr>
          <w:trHeight w:val="57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rPr>
              <w:t>-</w:t>
            </w:r>
          </w:p>
        </w:tc>
      </w:tr>
      <w:tr>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206.43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625.67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705"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200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5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tblPrEx>
          <w:tblCellMar>
            <w:top w:w="0" w:type="dxa"/>
            <w:left w:w="108" w:type="dxa"/>
            <w:bottom w:w="0" w:type="dxa"/>
            <w:right w:w="108" w:type="dxa"/>
          </w:tblCellMar>
        </w:tblPrEx>
        <w:trPr>
          <w:trHeight w:val="58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房屋建筑物供暖面积</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&gt;=3000平方米</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关于木垒哈萨克自治县文化体育广播电视和旅游局所属事业单位机构编制调整有关事宜的通知</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3000平方米</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开展博物馆展览次数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博物馆开展成功率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文物档案管理覆盖率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w:t>
            </w: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fixed"/>
        <w:tblCellMar>
          <w:top w:w="0" w:type="dxa"/>
          <w:left w:w="108" w:type="dxa"/>
          <w:bottom w:w="0" w:type="dxa"/>
          <w:right w:w="108" w:type="dxa"/>
        </w:tblCellMar>
      </w:tblPr>
      <w:tblGrid>
        <w:gridCol w:w="495"/>
        <w:gridCol w:w="496"/>
        <w:gridCol w:w="818"/>
        <w:gridCol w:w="843"/>
        <w:gridCol w:w="974"/>
        <w:gridCol w:w="595"/>
        <w:gridCol w:w="893"/>
        <w:gridCol w:w="786"/>
        <w:gridCol w:w="248"/>
        <w:gridCol w:w="406"/>
        <w:gridCol w:w="260"/>
        <w:gridCol w:w="554"/>
        <w:gridCol w:w="401"/>
        <w:gridCol w:w="753"/>
      </w:tblGrid>
      <w:tr>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2023年中央补助地方博物馆纪念馆免费开放补助资金</w:t>
            </w:r>
          </w:p>
        </w:tc>
      </w:tr>
      <w:tr>
        <w:tblPrEx>
          <w:tblCellMar>
            <w:top w:w="0" w:type="dxa"/>
            <w:left w:w="108" w:type="dxa"/>
            <w:bottom w:w="0" w:type="dxa"/>
            <w:right w:w="108" w:type="dxa"/>
          </w:tblCellMar>
        </w:tblPrEx>
        <w:trPr>
          <w:trHeight w:val="288" w:hRule="atLeast"/>
          <w:jc w:val="center"/>
        </w:trPr>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tblPrEx>
          <w:tblCellMar>
            <w:top w:w="0" w:type="dxa"/>
            <w:left w:w="108" w:type="dxa"/>
            <w:bottom w:w="0" w:type="dxa"/>
            <w:right w:w="108" w:type="dxa"/>
          </w:tblCellMar>
        </w:tblPrEx>
        <w:trPr>
          <w:trHeight w:val="480" w:hRule="atLeast"/>
          <w:jc w:val="center"/>
        </w:trPr>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440" w:hRule="atLeast"/>
          <w:jc w:val="center"/>
        </w:trPr>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88"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54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619"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(2022)61号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木垒县博物馆依据(2022)61号文件开展流动博物馆及免费开放工作，截止至2023年12月，我单位已在木垒县开展流动博物馆展览10场次，免费开放博物馆300天，展厅免费参观人数达50000余人。让人民群众了解木垒历史，感受木垒的历史文化。</w:t>
            </w:r>
          </w:p>
        </w:tc>
      </w:tr>
      <w:tr>
        <w:tblPrEx>
          <w:tblCellMar>
            <w:top w:w="0" w:type="dxa"/>
            <w:left w:w="108" w:type="dxa"/>
            <w:bottom w:w="0" w:type="dxa"/>
            <w:right w:w="108" w:type="dxa"/>
          </w:tblCellMar>
        </w:tblPrEx>
        <w:trPr>
          <w:trHeight w:val="312"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4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CellMar>
            <w:top w:w="0" w:type="dxa"/>
            <w:left w:w="108" w:type="dxa"/>
            <w:bottom w:w="0" w:type="dxa"/>
            <w:right w:w="108" w:type="dxa"/>
          </w:tblCellMar>
        </w:tblPrEx>
        <w:trPr>
          <w:trHeight w:val="312"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4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举办宣传活动次数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举办历史文化活动次数</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开展流动博物馆展览覆盖率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开展流动博物馆展览成功率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各项运转费用支付及时率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参观接待开馆时间</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对社会公众正常生活影响率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博物馆正常运转率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4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288" w:hRule="atLeast"/>
          <w:jc w:val="center"/>
        </w:trPr>
        <w:tc>
          <w:tcPr>
            <w:tcW w:w="59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3"/>
        <w:gridCol w:w="492"/>
        <w:gridCol w:w="1250"/>
        <w:gridCol w:w="242"/>
        <w:gridCol w:w="1272"/>
        <w:gridCol w:w="491"/>
        <w:gridCol w:w="889"/>
        <w:gridCol w:w="783"/>
        <w:gridCol w:w="245"/>
        <w:gridCol w:w="404"/>
        <w:gridCol w:w="256"/>
        <w:gridCol w:w="554"/>
        <w:gridCol w:w="400"/>
        <w:gridCol w:w="751"/>
      </w:tblGrid>
      <w:tr>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tblPrEx>
          <w:tblCellMar>
            <w:top w:w="0" w:type="dxa"/>
            <w:left w:w="108" w:type="dxa"/>
            <w:bottom w:w="0" w:type="dxa"/>
            <w:right w:w="108" w:type="dxa"/>
          </w:tblCellMar>
        </w:tblPrEx>
        <w:trPr>
          <w:trHeight w:val="288" w:hRule="atLeast"/>
          <w:jc w:val="center"/>
        </w:trPr>
        <w:tc>
          <w:tcPr>
            <w:tcW w:w="8522"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3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木垒县博物馆爱国主义教育基地补助经费</w:t>
            </w:r>
          </w:p>
        </w:tc>
      </w:tr>
      <w:tr>
        <w:tblPrEx>
          <w:tblCellMar>
            <w:top w:w="0" w:type="dxa"/>
            <w:left w:w="108" w:type="dxa"/>
            <w:bottom w:w="0" w:type="dxa"/>
            <w:right w:w="108" w:type="dxa"/>
          </w:tblCellMar>
        </w:tblPrEx>
        <w:trPr>
          <w:trHeight w:val="288" w:hRule="atLeast"/>
          <w:jc w:val="center"/>
        </w:trPr>
        <w:tc>
          <w:tcPr>
            <w:tcW w:w="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tblPrEx>
          <w:tblCellMar>
            <w:top w:w="0" w:type="dxa"/>
            <w:left w:w="108" w:type="dxa"/>
            <w:bottom w:w="0" w:type="dxa"/>
            <w:right w:w="108" w:type="dxa"/>
          </w:tblCellMar>
        </w:tblPrEx>
        <w:trPr>
          <w:trHeight w:val="480" w:hRule="atLeast"/>
          <w:jc w:val="center"/>
        </w:trPr>
        <w:tc>
          <w:tcPr>
            <w:tcW w:w="9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440" w:hRule="atLeast"/>
          <w:jc w:val="center"/>
        </w:trPr>
        <w:tc>
          <w:tcPr>
            <w:tcW w:w="9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CellMar>
            <w:top w:w="0" w:type="dxa"/>
            <w:left w:w="108" w:type="dxa"/>
            <w:bottom w:w="0" w:type="dxa"/>
            <w:right w:w="108" w:type="dxa"/>
          </w:tblCellMar>
        </w:tblPrEx>
        <w:trPr>
          <w:trHeight w:val="288"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CellMar>
            <w:top w:w="0" w:type="dxa"/>
            <w:left w:w="108" w:type="dxa"/>
            <w:bottom w:w="0" w:type="dxa"/>
            <w:right w:w="108" w:type="dxa"/>
          </w:tblCellMar>
        </w:tblPrEx>
        <w:trPr>
          <w:trHeight w:val="54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636" w:type="dxa"/>
            <w:gridSpan w:val="6"/>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2022】74号文件要求，计划使用中央支持地方公共文化体系建设补助资金2万元，丰富爱国主义教育基地展厅内的文化阵地内容，为连接博物馆与社会服务搭建宣传平台。提升全民爱国意识，增强中华民族共同体意识。</w:t>
            </w:r>
          </w:p>
        </w:tc>
        <w:tc>
          <w:tcPr>
            <w:tcW w:w="3393"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至本项目完成时限，我单位针对本项目已完成如下工作：完成爱国主义教育基地改造项目1个，全年免费开访达到300天，全年可接待参观人数达2万余人，丰富了爱国主义教育基地展厅内的文化阵地内容，提升了全民爱国意识，增强了中华民族共同体意识。</w:t>
            </w:r>
          </w:p>
        </w:tc>
      </w:tr>
      <w:tr>
        <w:tblPrEx>
          <w:tblCellMar>
            <w:top w:w="0" w:type="dxa"/>
            <w:left w:w="108" w:type="dxa"/>
            <w:bottom w:w="0" w:type="dxa"/>
            <w:right w:w="108" w:type="dxa"/>
          </w:tblCellMar>
        </w:tblPrEx>
        <w:trPr>
          <w:trHeight w:val="312"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1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CellMar>
            <w:top w:w="0" w:type="dxa"/>
            <w:left w:w="108" w:type="dxa"/>
            <w:bottom w:w="0" w:type="dxa"/>
            <w:right w:w="108" w:type="dxa"/>
          </w:tblCellMar>
        </w:tblPrEx>
        <w:trPr>
          <w:trHeight w:val="312"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2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文化阵地建设改造维修数量</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=1个</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文化阵地建设改造合格率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全年免费开放日</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&gt;=300天</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=300天</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全年可接待参观人数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&gt;=300人</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=300人</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cs="宋体"/>
                <w:color w:val="000000"/>
                <w:sz w:val="20"/>
                <w:szCs w:val="20"/>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r>
        <w:tblPrEx>
          <w:tblCellMar>
            <w:top w:w="0" w:type="dxa"/>
            <w:left w:w="108" w:type="dxa"/>
            <w:bottom w:w="0" w:type="dxa"/>
            <w:right w:w="108" w:type="dxa"/>
          </w:tblCellMar>
        </w:tblPrEx>
        <w:trPr>
          <w:trHeight w:val="400"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参观人员满意度</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&gt;=90%</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=88%</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9.25</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tblPrEx>
          <w:tblCellMar>
            <w:top w:w="0" w:type="dxa"/>
            <w:left w:w="108" w:type="dxa"/>
            <w:bottom w:w="0" w:type="dxa"/>
            <w:right w:w="108" w:type="dxa"/>
          </w:tblCellMar>
        </w:tblPrEx>
        <w:trPr>
          <w:trHeight w:val="288" w:hRule="atLeast"/>
          <w:jc w:val="center"/>
        </w:trPr>
        <w:tc>
          <w:tcPr>
            <w:tcW w:w="591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99.25分</w:t>
            </w:r>
          </w:p>
        </w:tc>
        <w:tc>
          <w:tcPr>
            <w:tcW w:w="11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000000"/>
                <w:sz w:val="20"/>
                <w:szCs w:val="20"/>
              </w:rPr>
            </w:pPr>
          </w:p>
        </w:tc>
      </w:tr>
    </w:tbl>
    <w:p>
      <w:pPr>
        <w:ind w:firstLine="640" w:firstLineChars="200"/>
        <w:jc w:val="left"/>
        <w:rPr>
          <w:rFonts w:hint="eastAsia" w:ascii="黑体" w:hAnsi="黑体" w:eastAsia="黑体" w:cs="宋体"/>
          <w:bCs/>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506"/>
        <w:gridCol w:w="621"/>
        <w:gridCol w:w="1047"/>
        <w:gridCol w:w="974"/>
        <w:gridCol w:w="595"/>
        <w:gridCol w:w="902"/>
        <w:gridCol w:w="794"/>
        <w:gridCol w:w="260"/>
        <w:gridCol w:w="413"/>
        <w:gridCol w:w="271"/>
        <w:gridCol w:w="554"/>
        <w:gridCol w:w="406"/>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7510" w:type="dxa"/>
            <w:gridSpan w:val="1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木垒县博物馆馆藏文物预防性保护项目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12"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4139" w:type="dxa"/>
            <w:gridSpan w:val="5"/>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c>
          <w:tcPr>
            <w:tcW w:w="105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2317" w:type="dxa"/>
            <w:gridSpan w:val="5"/>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12" w:type="dxa"/>
            <w:gridSpan w:val="2"/>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668" w:type="dxa"/>
            <w:gridSpan w:val="2"/>
            <w:shd w:val="clear" w:color="auto" w:fill="auto"/>
            <w:vAlign w:val="center"/>
          </w:tcPr>
          <w:p>
            <w:pPr>
              <w:jc w:val="center"/>
              <w:rPr>
                <w:rFonts w:hint="eastAsia" w:ascii="宋体" w:hAnsi="宋体" w:cs="宋体"/>
                <w:color w:val="000000"/>
                <w:sz w:val="20"/>
                <w:szCs w:val="20"/>
              </w:rPr>
            </w:pPr>
          </w:p>
        </w:tc>
        <w:tc>
          <w:tcPr>
            <w:tcW w:w="97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497"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5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68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960"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673"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pPr>
              <w:jc w:val="center"/>
              <w:rPr>
                <w:rFonts w:hint="eastAsia" w:ascii="宋体" w:hAnsi="宋体" w:cs="宋体"/>
                <w:color w:val="000000"/>
                <w:sz w:val="20"/>
                <w:szCs w:val="20"/>
              </w:rPr>
            </w:pPr>
          </w:p>
        </w:tc>
        <w:tc>
          <w:tcPr>
            <w:tcW w:w="1668"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97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60"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673"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pPr>
              <w:jc w:val="center"/>
              <w:rPr>
                <w:rFonts w:hint="eastAsia" w:ascii="宋体" w:hAnsi="宋体" w:cs="宋体"/>
                <w:color w:val="000000"/>
                <w:sz w:val="20"/>
                <w:szCs w:val="20"/>
              </w:rPr>
            </w:pPr>
          </w:p>
        </w:tc>
        <w:tc>
          <w:tcPr>
            <w:tcW w:w="1668"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97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497"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105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85.72</w:t>
            </w:r>
          </w:p>
        </w:tc>
        <w:tc>
          <w:tcPr>
            <w:tcW w:w="68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012" w:type="dxa"/>
            <w:gridSpan w:val="2"/>
            <w:vMerge w:val="continue"/>
            <w:shd w:val="clear" w:color="auto" w:fill="auto"/>
            <w:vAlign w:val="center"/>
          </w:tcPr>
          <w:p>
            <w:pPr>
              <w:jc w:val="center"/>
              <w:rPr>
                <w:rFonts w:hint="eastAsia" w:ascii="宋体" w:hAnsi="宋体" w:cs="宋体"/>
                <w:color w:val="000000"/>
                <w:sz w:val="20"/>
                <w:szCs w:val="20"/>
              </w:rPr>
            </w:pPr>
          </w:p>
        </w:tc>
        <w:tc>
          <w:tcPr>
            <w:tcW w:w="1668" w:type="dxa"/>
            <w:gridSpan w:val="2"/>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974" w:type="dxa"/>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497" w:type="dxa"/>
            <w:gridSpan w:val="2"/>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054" w:type="dxa"/>
            <w:gridSpan w:val="2"/>
            <w:shd w:val="clear" w:color="auto" w:fill="auto"/>
            <w:vAlign w:val="center"/>
          </w:tcPr>
          <w:p>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84"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60"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673"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4645" w:type="dxa"/>
            <w:gridSpan w:val="6"/>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371" w:type="dxa"/>
            <w:gridSpan w:val="7"/>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4645" w:type="dxa"/>
            <w:gridSpan w:val="6"/>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依据昌州财教(2021)77号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3371" w:type="dxa"/>
            <w:gridSpan w:val="7"/>
            <w:shd w:val="clear" w:color="auto" w:fill="auto"/>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截止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restart"/>
            <w:shd w:val="clear" w:color="auto" w:fill="auto"/>
            <w:vAlign w:val="center"/>
          </w:tcPr>
          <w:p>
            <w:pPr>
              <w:jc w:val="center"/>
              <w:rPr>
                <w:rFonts w:hint="eastAsia" w:ascii="宋体" w:hAnsi="宋体" w:cs="宋体"/>
                <w:color w:val="000000"/>
                <w:sz w:val="20"/>
                <w:szCs w:val="20"/>
              </w:rPr>
            </w:pPr>
          </w:p>
        </w:tc>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621"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2616" w:type="dxa"/>
            <w:gridSpan w:val="3"/>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02"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794"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673" w:type="dxa"/>
            <w:gridSpan w:val="2"/>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825" w:type="dxa"/>
            <w:gridSpan w:val="2"/>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1079" w:type="dxa"/>
            <w:gridSpan w:val="2"/>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vMerge w:val="continue"/>
            <w:shd w:val="clear" w:color="auto" w:fill="auto"/>
            <w:vAlign w:val="center"/>
          </w:tcPr>
          <w:p>
            <w:pPr>
              <w:jc w:val="center"/>
              <w:rPr>
                <w:rFonts w:hint="eastAsia" w:ascii="宋体" w:hAnsi="宋体" w:cs="宋体"/>
                <w:color w:val="000000"/>
                <w:sz w:val="20"/>
                <w:szCs w:val="20"/>
              </w:rPr>
            </w:pPr>
          </w:p>
        </w:tc>
        <w:tc>
          <w:tcPr>
            <w:tcW w:w="2616" w:type="dxa"/>
            <w:gridSpan w:val="3"/>
            <w:vMerge w:val="continue"/>
            <w:shd w:val="clear" w:color="auto" w:fill="auto"/>
            <w:vAlign w:val="center"/>
          </w:tcPr>
          <w:p>
            <w:pPr>
              <w:jc w:val="center"/>
              <w:rPr>
                <w:rFonts w:hint="eastAsia" w:ascii="宋体" w:hAnsi="宋体" w:cs="宋体"/>
                <w:color w:val="000000"/>
                <w:sz w:val="20"/>
                <w:szCs w:val="20"/>
              </w:rPr>
            </w:pPr>
          </w:p>
        </w:tc>
        <w:tc>
          <w:tcPr>
            <w:tcW w:w="902" w:type="dxa"/>
            <w:vMerge w:val="continue"/>
            <w:shd w:val="clear" w:color="auto" w:fill="auto"/>
            <w:vAlign w:val="center"/>
          </w:tcPr>
          <w:p>
            <w:pPr>
              <w:jc w:val="center"/>
              <w:rPr>
                <w:rFonts w:hint="eastAsia" w:ascii="宋体" w:hAnsi="宋体" w:cs="宋体"/>
                <w:color w:val="000000"/>
                <w:sz w:val="20"/>
                <w:szCs w:val="20"/>
              </w:rPr>
            </w:pPr>
          </w:p>
        </w:tc>
        <w:tc>
          <w:tcPr>
            <w:tcW w:w="794" w:type="dxa"/>
            <w:vMerge w:val="continue"/>
            <w:shd w:val="clear" w:color="auto" w:fill="auto"/>
            <w:vAlign w:val="center"/>
          </w:tcPr>
          <w:p>
            <w:pPr>
              <w:jc w:val="center"/>
              <w:rPr>
                <w:rFonts w:hint="eastAsia" w:ascii="宋体" w:hAnsi="宋体" w:cs="宋体"/>
                <w:color w:val="000000"/>
                <w:sz w:val="20"/>
                <w:szCs w:val="20"/>
              </w:rPr>
            </w:pPr>
          </w:p>
        </w:tc>
        <w:tc>
          <w:tcPr>
            <w:tcW w:w="673" w:type="dxa"/>
            <w:gridSpan w:val="2"/>
            <w:vMerge w:val="continue"/>
            <w:shd w:val="clear" w:color="auto" w:fill="auto"/>
            <w:vAlign w:val="center"/>
          </w:tcPr>
          <w:p>
            <w:pPr>
              <w:jc w:val="center"/>
              <w:rPr>
                <w:rFonts w:hint="eastAsia" w:ascii="宋体" w:hAnsi="宋体" w:cs="宋体"/>
                <w:color w:val="000000"/>
                <w:sz w:val="20"/>
                <w:szCs w:val="20"/>
              </w:rPr>
            </w:pPr>
          </w:p>
        </w:tc>
        <w:tc>
          <w:tcPr>
            <w:tcW w:w="825" w:type="dxa"/>
            <w:gridSpan w:val="2"/>
            <w:vMerge w:val="continue"/>
            <w:shd w:val="clear" w:color="auto" w:fill="auto"/>
            <w:vAlign w:val="center"/>
          </w:tcPr>
          <w:p>
            <w:pPr>
              <w:jc w:val="center"/>
              <w:rPr>
                <w:rFonts w:hint="eastAsia" w:ascii="宋体" w:hAnsi="宋体" w:cs="宋体"/>
                <w:color w:val="000000"/>
                <w:sz w:val="20"/>
                <w:szCs w:val="20"/>
              </w:rPr>
            </w:pPr>
          </w:p>
        </w:tc>
        <w:tc>
          <w:tcPr>
            <w:tcW w:w="1079" w:type="dxa"/>
            <w:gridSpan w:val="2"/>
            <w:vMerge w:val="continue"/>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建设环境调控及监测系统</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=1套</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建造文物储藏柜架</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=10个</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建造文物展柜</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项目验收合格率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系统故障率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&lt;=3%</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文物损毁、违规修复发生率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项目按计划完成时间</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&lt;=12个月</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=12个月</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项目预算控制率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&lt;=100%</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&lt;=0.5%</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生态环境成本指标</w:t>
            </w:r>
          </w:p>
        </w:tc>
        <w:tc>
          <w:tcPr>
            <w:tcW w:w="0" w:type="auto"/>
            <w:gridSpan w:val="3"/>
            <w:shd w:val="clear" w:color="auto" w:fill="auto"/>
            <w:noWrap/>
            <w:vAlign w:val="center"/>
          </w:tcPr>
          <w:p>
            <w:pPr>
              <w:jc w:val="left"/>
              <w:rPr>
                <w:rFonts w:hint="eastAsia" w:ascii="宋体" w:hAnsi="宋体" w:cs="宋体"/>
                <w:color w:val="000000"/>
                <w:sz w:val="20"/>
                <w:szCs w:val="20"/>
              </w:rPr>
            </w:pPr>
          </w:p>
        </w:tc>
        <w:tc>
          <w:tcPr>
            <w:tcW w:w="902" w:type="dxa"/>
            <w:shd w:val="clear" w:color="auto" w:fill="auto"/>
            <w:vAlign w:val="center"/>
          </w:tcPr>
          <w:p>
            <w:pPr>
              <w:jc w:val="center"/>
              <w:rPr>
                <w:rFonts w:hint="eastAsia" w:ascii="宋体" w:hAnsi="宋体" w:cs="宋体"/>
                <w:color w:val="000000"/>
                <w:sz w:val="20"/>
                <w:szCs w:val="20"/>
              </w:rPr>
            </w:pPr>
          </w:p>
        </w:tc>
        <w:tc>
          <w:tcPr>
            <w:tcW w:w="794" w:type="dxa"/>
            <w:shd w:val="clear" w:color="auto" w:fill="auto"/>
            <w:vAlign w:val="center"/>
          </w:tcPr>
          <w:p>
            <w:pPr>
              <w:jc w:val="center"/>
              <w:rPr>
                <w:rFonts w:hint="eastAsia" w:ascii="宋体" w:hAnsi="宋体" w:cs="宋体"/>
                <w:color w:val="000000"/>
                <w:sz w:val="20"/>
                <w:szCs w:val="20"/>
              </w:rPr>
            </w:pPr>
          </w:p>
        </w:tc>
        <w:tc>
          <w:tcPr>
            <w:tcW w:w="673" w:type="dxa"/>
            <w:gridSpan w:val="2"/>
            <w:shd w:val="clear" w:color="auto" w:fill="auto"/>
            <w:vAlign w:val="center"/>
          </w:tcPr>
          <w:p>
            <w:pPr>
              <w:jc w:val="center"/>
              <w:rPr>
                <w:rFonts w:hint="eastAsia" w:ascii="宋体" w:hAnsi="宋体" w:cs="宋体"/>
                <w:color w:val="000000"/>
                <w:sz w:val="20"/>
                <w:szCs w:val="20"/>
              </w:rPr>
            </w:pPr>
          </w:p>
        </w:tc>
        <w:tc>
          <w:tcPr>
            <w:tcW w:w="825" w:type="dxa"/>
            <w:gridSpan w:val="2"/>
            <w:shd w:val="clear" w:color="auto" w:fill="auto"/>
            <w:vAlign w:val="center"/>
          </w:tcPr>
          <w:p>
            <w:pPr>
              <w:jc w:val="center"/>
              <w:rPr>
                <w:rFonts w:hint="eastAsia" w:ascii="宋体" w:hAnsi="宋体" w:cs="宋体"/>
                <w:color w:val="000000"/>
                <w:sz w:val="20"/>
                <w:szCs w:val="20"/>
              </w:rPr>
            </w:pP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restart"/>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0" w:type="auto"/>
            <w:gridSpan w:val="3"/>
            <w:shd w:val="clear" w:color="auto" w:fill="auto"/>
            <w:noWrap/>
            <w:vAlign w:val="center"/>
          </w:tcPr>
          <w:p>
            <w:pPr>
              <w:jc w:val="left"/>
              <w:rPr>
                <w:rFonts w:hint="eastAsia" w:ascii="宋体" w:hAnsi="宋体" w:cs="宋体"/>
                <w:color w:val="000000"/>
                <w:sz w:val="20"/>
                <w:szCs w:val="20"/>
              </w:rPr>
            </w:pPr>
          </w:p>
        </w:tc>
        <w:tc>
          <w:tcPr>
            <w:tcW w:w="902" w:type="dxa"/>
            <w:shd w:val="clear" w:color="auto" w:fill="auto"/>
            <w:vAlign w:val="center"/>
          </w:tcPr>
          <w:p>
            <w:pPr>
              <w:jc w:val="center"/>
              <w:rPr>
                <w:rFonts w:hint="eastAsia" w:ascii="宋体" w:hAnsi="宋体" w:cs="宋体"/>
                <w:color w:val="000000"/>
                <w:sz w:val="20"/>
                <w:szCs w:val="20"/>
              </w:rPr>
            </w:pPr>
          </w:p>
        </w:tc>
        <w:tc>
          <w:tcPr>
            <w:tcW w:w="794" w:type="dxa"/>
            <w:shd w:val="clear" w:color="auto" w:fill="auto"/>
            <w:vAlign w:val="center"/>
          </w:tcPr>
          <w:p>
            <w:pPr>
              <w:jc w:val="center"/>
              <w:rPr>
                <w:rFonts w:hint="eastAsia" w:ascii="宋体" w:hAnsi="宋体" w:cs="宋体"/>
                <w:color w:val="000000"/>
                <w:sz w:val="20"/>
                <w:szCs w:val="20"/>
              </w:rPr>
            </w:pPr>
          </w:p>
        </w:tc>
        <w:tc>
          <w:tcPr>
            <w:tcW w:w="673" w:type="dxa"/>
            <w:gridSpan w:val="2"/>
            <w:shd w:val="clear" w:color="auto" w:fill="auto"/>
            <w:vAlign w:val="center"/>
          </w:tcPr>
          <w:p>
            <w:pPr>
              <w:jc w:val="center"/>
              <w:rPr>
                <w:rFonts w:hint="eastAsia" w:ascii="宋体" w:hAnsi="宋体" w:cs="宋体"/>
                <w:color w:val="000000"/>
                <w:sz w:val="20"/>
                <w:szCs w:val="20"/>
              </w:rPr>
            </w:pPr>
          </w:p>
        </w:tc>
        <w:tc>
          <w:tcPr>
            <w:tcW w:w="825" w:type="dxa"/>
            <w:gridSpan w:val="2"/>
            <w:shd w:val="clear" w:color="auto" w:fill="auto"/>
            <w:vAlign w:val="center"/>
          </w:tcPr>
          <w:p>
            <w:pPr>
              <w:jc w:val="center"/>
              <w:rPr>
                <w:rFonts w:hint="eastAsia" w:ascii="宋体" w:hAnsi="宋体" w:cs="宋体"/>
                <w:color w:val="000000"/>
                <w:sz w:val="20"/>
                <w:szCs w:val="20"/>
              </w:rPr>
            </w:pP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县域内文物保护率</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可保护文物数量</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&gt;=100件</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=100件</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vMerge w:val="continue"/>
            <w:shd w:val="clear" w:color="auto" w:fill="auto"/>
            <w:vAlign w:val="center"/>
          </w:tcPr>
          <w:p>
            <w:pPr>
              <w:jc w:val="center"/>
              <w:rPr>
                <w:rFonts w:hint="eastAsia" w:ascii="宋体" w:hAnsi="宋体" w:cs="宋体"/>
                <w:color w:val="000000"/>
                <w:sz w:val="20"/>
                <w:szCs w:val="20"/>
              </w:rPr>
            </w:pP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0" w:type="auto"/>
            <w:gridSpan w:val="3"/>
            <w:shd w:val="clear" w:color="auto" w:fill="auto"/>
            <w:noWrap/>
            <w:vAlign w:val="center"/>
          </w:tcPr>
          <w:p>
            <w:pPr>
              <w:jc w:val="left"/>
              <w:rPr>
                <w:rFonts w:hint="eastAsia" w:ascii="宋体" w:hAnsi="宋体" w:cs="宋体"/>
                <w:color w:val="000000"/>
                <w:sz w:val="20"/>
                <w:szCs w:val="20"/>
              </w:rPr>
            </w:pPr>
          </w:p>
        </w:tc>
        <w:tc>
          <w:tcPr>
            <w:tcW w:w="902" w:type="dxa"/>
            <w:shd w:val="clear" w:color="auto" w:fill="auto"/>
            <w:vAlign w:val="center"/>
          </w:tcPr>
          <w:p>
            <w:pPr>
              <w:jc w:val="center"/>
              <w:rPr>
                <w:rFonts w:hint="eastAsia" w:ascii="宋体" w:hAnsi="宋体" w:cs="宋体"/>
                <w:color w:val="000000"/>
                <w:sz w:val="20"/>
                <w:szCs w:val="20"/>
              </w:rPr>
            </w:pPr>
          </w:p>
        </w:tc>
        <w:tc>
          <w:tcPr>
            <w:tcW w:w="794" w:type="dxa"/>
            <w:shd w:val="clear" w:color="auto" w:fill="auto"/>
            <w:vAlign w:val="center"/>
          </w:tcPr>
          <w:p>
            <w:pPr>
              <w:jc w:val="center"/>
              <w:rPr>
                <w:rFonts w:hint="eastAsia" w:ascii="宋体" w:hAnsi="宋体" w:cs="宋体"/>
                <w:color w:val="000000"/>
                <w:sz w:val="20"/>
                <w:szCs w:val="20"/>
              </w:rPr>
            </w:pPr>
          </w:p>
        </w:tc>
        <w:tc>
          <w:tcPr>
            <w:tcW w:w="673" w:type="dxa"/>
            <w:gridSpan w:val="2"/>
            <w:shd w:val="clear" w:color="auto" w:fill="auto"/>
            <w:vAlign w:val="center"/>
          </w:tcPr>
          <w:p>
            <w:pPr>
              <w:jc w:val="center"/>
              <w:rPr>
                <w:rFonts w:hint="eastAsia" w:ascii="宋体" w:hAnsi="宋体" w:cs="宋体"/>
                <w:color w:val="000000"/>
                <w:sz w:val="20"/>
                <w:szCs w:val="20"/>
              </w:rPr>
            </w:pPr>
          </w:p>
        </w:tc>
        <w:tc>
          <w:tcPr>
            <w:tcW w:w="825" w:type="dxa"/>
            <w:gridSpan w:val="2"/>
            <w:shd w:val="clear" w:color="auto" w:fill="auto"/>
            <w:vAlign w:val="center"/>
          </w:tcPr>
          <w:p>
            <w:pPr>
              <w:jc w:val="center"/>
              <w:rPr>
                <w:rFonts w:hint="eastAsia" w:ascii="宋体" w:hAnsi="宋体" w:cs="宋体"/>
                <w:color w:val="000000"/>
                <w:sz w:val="20"/>
                <w:szCs w:val="20"/>
              </w:rPr>
            </w:pPr>
          </w:p>
        </w:tc>
        <w:tc>
          <w:tcPr>
            <w:tcW w:w="1079" w:type="dxa"/>
            <w:gridSpan w:val="2"/>
            <w:shd w:val="clear" w:color="auto" w:fill="auto"/>
            <w:vAlign w:val="center"/>
          </w:tcPr>
          <w:p>
            <w:pPr>
              <w:jc w:val="center"/>
              <w:rPr>
                <w:rFonts w:hint="eastAsia" w:ascii="宋体" w:hAnsi="宋体"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06" w:type="dxa"/>
            <w:vMerge w:val="continue"/>
            <w:shd w:val="clear" w:color="auto" w:fill="auto"/>
            <w:vAlign w:val="center"/>
          </w:tcPr>
          <w:p>
            <w:pPr>
              <w:jc w:val="center"/>
              <w:rPr>
                <w:rFonts w:hint="eastAsia" w:ascii="宋体" w:hAnsi="宋体" w:cs="宋体"/>
                <w:color w:val="000000"/>
                <w:sz w:val="20"/>
                <w:szCs w:val="20"/>
              </w:rPr>
            </w:pPr>
          </w:p>
        </w:tc>
        <w:tc>
          <w:tcPr>
            <w:tcW w:w="506"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621"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0" w:type="auto"/>
            <w:gridSpan w:val="3"/>
            <w:shd w:val="clear" w:color="auto" w:fill="auto"/>
            <w:noWrap/>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馆内工作人员满意度</w:t>
            </w:r>
          </w:p>
        </w:tc>
        <w:tc>
          <w:tcPr>
            <w:tcW w:w="902"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794" w:type="dxa"/>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=93%</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9.45</w:t>
            </w:r>
          </w:p>
        </w:tc>
        <w:tc>
          <w:tcPr>
            <w:tcW w:w="1079"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因展厅装修提升改造项目，有部分展厅临时未开放。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45" w:type="dxa"/>
            <w:gridSpan w:val="8"/>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673"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25" w:type="dxa"/>
            <w:gridSpan w:val="2"/>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89.45分</w:t>
            </w:r>
          </w:p>
        </w:tc>
        <w:tc>
          <w:tcPr>
            <w:tcW w:w="1079" w:type="dxa"/>
            <w:gridSpan w:val="2"/>
            <w:shd w:val="clear" w:color="auto" w:fill="auto"/>
            <w:vAlign w:val="center"/>
          </w:tcPr>
          <w:p>
            <w:pPr>
              <w:jc w:val="center"/>
              <w:rPr>
                <w:rFonts w:hint="eastAsia" w:ascii="宋体" w:hAnsi="宋体" w:cs="宋体"/>
                <w:color w:val="000000"/>
                <w:sz w:val="20"/>
                <w:szCs w:val="20"/>
              </w:rPr>
            </w:pPr>
          </w:p>
        </w:tc>
      </w:tr>
    </w:tbl>
    <w:p>
      <w:pPr>
        <w:ind w:firstLine="640" w:firstLineChars="200"/>
        <w:jc w:val="left"/>
        <w:rPr>
          <w:rFonts w:hint="eastAsia" w:ascii="黑体" w:hAnsi="黑体" w:eastAsia="黑体" w:cs="宋体"/>
          <w:bCs/>
          <w:kern w:val="0"/>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D2FAA"/>
    <w:rsid w:val="00164052"/>
    <w:rsid w:val="001E1D56"/>
    <w:rsid w:val="00213C59"/>
    <w:rsid w:val="00245950"/>
    <w:rsid w:val="002D2FAA"/>
    <w:rsid w:val="003210CE"/>
    <w:rsid w:val="003E26F8"/>
    <w:rsid w:val="004A4740"/>
    <w:rsid w:val="006D26BA"/>
    <w:rsid w:val="009470C0"/>
    <w:rsid w:val="00B70D59"/>
    <w:rsid w:val="00D117BE"/>
    <w:rsid w:val="00DD6EF9"/>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31F1F"/>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autoRedefine/>
    <w:qFormat/>
    <w:uiPriority w:val="0"/>
  </w:style>
  <w:style w:type="paragraph" w:styleId="7">
    <w:name w:val="toc 2"/>
    <w:basedOn w:val="1"/>
    <w:next w:val="1"/>
    <w:autoRedefine/>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7937</Words>
  <Characters>9144</Characters>
  <Lines>77</Lines>
  <Paragraphs>21</Paragraphs>
  <TotalTime>30</TotalTime>
  <ScaleCrop>false</ScaleCrop>
  <LinksUpToDate>false</LinksUpToDate>
  <CharactersWithSpaces>9160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2024-09-02T08:42:50Z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